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033C1">
      <w:pPr>
        <w:jc w:val="center"/>
        <w:rPr>
          <w:rFonts w:hint="eastAsia"/>
          <w:b/>
          <w:bCs/>
          <w:sz w:val="30"/>
          <w:szCs w:val="30"/>
        </w:rPr>
      </w:pPr>
    </w:p>
    <w:p w14:paraId="35B02D60">
      <w:pPr>
        <w:jc w:val="center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208280</wp:posOffset>
            </wp:positionH>
            <wp:positionV relativeFrom="paragraph">
              <wp:posOffset>-231775</wp:posOffset>
            </wp:positionV>
            <wp:extent cx="897255" cy="996950"/>
            <wp:effectExtent l="0" t="0" r="17145" b="12700"/>
            <wp:wrapNone/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0"/>
          <w:szCs w:val="30"/>
        </w:rPr>
        <w:t>Technical Data Sheet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(TR-5088)</w:t>
      </w:r>
    </w:p>
    <w:p w14:paraId="70D2F43B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default"/>
          <w:b/>
          <w:bCs/>
          <w:sz w:val="30"/>
          <w:szCs w:val="30"/>
        </w:rPr>
        <w:t>(TDS)</w:t>
      </w:r>
    </w:p>
    <w:tbl>
      <w:tblPr>
        <w:tblStyle w:val="5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240"/>
        <w:gridCol w:w="5311"/>
      </w:tblGrid>
      <w:tr w14:paraId="58922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12" w:space="0"/>
              <w:tl2br w:val="nil"/>
              <w:tr2bl w:val="nil"/>
            </w:tcBorders>
          </w:tcPr>
          <w:p w14:paraId="5055F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lang w:val="en-US" w:eastAsia="zh-CN"/>
              </w:rPr>
              <w:t>Product information</w:t>
            </w:r>
          </w:p>
        </w:tc>
        <w:tc>
          <w:tcPr>
            <w:tcW w:w="240" w:type="dxa"/>
            <w:tcBorders>
              <w:bottom w:val="single" w:color="auto" w:sz="12" w:space="0"/>
              <w:tl2br w:val="nil"/>
              <w:tr2bl w:val="nil"/>
            </w:tcBorders>
          </w:tcPr>
          <w:p w14:paraId="243F630A">
            <w:pPr>
              <w:rPr>
                <w:rFonts w:hint="default" w:ascii="Arial" w:hAnsi="Arial" w:cs="Arial"/>
              </w:rPr>
            </w:pPr>
          </w:p>
        </w:tc>
        <w:tc>
          <w:tcPr>
            <w:tcW w:w="5311" w:type="dxa"/>
            <w:tcBorders>
              <w:bottom w:val="single" w:color="auto" w:sz="12" w:space="0"/>
              <w:tl2br w:val="nil"/>
              <w:tr2bl w:val="nil"/>
            </w:tcBorders>
          </w:tcPr>
          <w:p w14:paraId="12C8243A">
            <w:pPr>
              <w:rPr>
                <w:rFonts w:hint="default" w:ascii="Arial" w:hAnsi="Arial" w:cs="Arial"/>
              </w:rPr>
            </w:pPr>
          </w:p>
        </w:tc>
      </w:tr>
      <w:tr w14:paraId="09F04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12" w:space="0"/>
              <w:bottom w:val="nil"/>
            </w:tcBorders>
          </w:tcPr>
          <w:p w14:paraId="7F274B34">
            <w:pPr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</w:rPr>
              <w:t>Product Name</w:t>
            </w:r>
          </w:p>
        </w:tc>
        <w:tc>
          <w:tcPr>
            <w:tcW w:w="240" w:type="dxa"/>
            <w:tcBorders>
              <w:top w:val="single" w:color="auto" w:sz="12" w:space="0"/>
              <w:bottom w:val="nil"/>
            </w:tcBorders>
          </w:tcPr>
          <w:p w14:paraId="47976C67">
            <w:pP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311" w:type="dxa"/>
            <w:tcBorders>
              <w:top w:val="single" w:color="auto" w:sz="12" w:space="0"/>
              <w:bottom w:val="nil"/>
            </w:tcBorders>
            <w:vAlign w:val="top"/>
          </w:tcPr>
          <w:p w14:paraId="0BC7F83D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Polycarboxylate Superplasticizer</w:t>
            </w:r>
          </w:p>
        </w:tc>
      </w:tr>
      <w:tr w14:paraId="01A26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2672D3F5">
            <w:pPr>
              <w:rPr>
                <w:rFonts w:hint="default"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</w:rPr>
              <w:t>Product application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48D312BD">
            <w:pPr>
              <w:rPr>
                <w:rFonts w:hint="eastAsia"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5311" w:type="dxa"/>
            <w:tcBorders>
              <w:tl2br w:val="nil"/>
              <w:tr2bl w:val="nil"/>
            </w:tcBorders>
            <w:vAlign w:val="top"/>
          </w:tcPr>
          <w:p w14:paraId="55C733EC">
            <w:pPr>
              <w:jc w:val="left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Polycarboxylate Superplasticizer is a kind of high performance superplasticizer powder , produced by high-speed centrifugal spray drying process.</w:t>
            </w:r>
          </w:p>
        </w:tc>
      </w:tr>
      <w:tr w14:paraId="0AC5E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12" w:space="0"/>
            </w:tcBorders>
          </w:tcPr>
          <w:p w14:paraId="2FA09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lang w:val="en-US" w:eastAsia="zh-CN"/>
              </w:rPr>
              <w:t>Technical Specification</w:t>
            </w:r>
          </w:p>
        </w:tc>
        <w:tc>
          <w:tcPr>
            <w:tcW w:w="240" w:type="dxa"/>
            <w:tcBorders>
              <w:bottom w:val="single" w:color="auto" w:sz="12" w:space="0"/>
            </w:tcBorders>
          </w:tcPr>
          <w:p w14:paraId="2319E790"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5311" w:type="dxa"/>
            <w:tcBorders>
              <w:bottom w:val="single" w:color="auto" w:sz="12" w:space="0"/>
            </w:tcBorders>
          </w:tcPr>
          <w:p w14:paraId="33D937B6">
            <w:pPr>
              <w:rPr>
                <w:rFonts w:hint="default" w:ascii="Arial" w:hAnsi="Arial" w:cs="Arial"/>
                <w:vertAlign w:val="baseline"/>
              </w:rPr>
            </w:pPr>
          </w:p>
        </w:tc>
      </w:tr>
      <w:tr w14:paraId="6EEEE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12" w:space="0"/>
              <w:tl2br w:val="nil"/>
              <w:tr2bl w:val="nil"/>
            </w:tcBorders>
          </w:tcPr>
          <w:p w14:paraId="35937DB2">
            <w:pPr>
              <w:rPr>
                <w:rFonts w:hint="default" w:ascii="Arial" w:hAnsi="Arial" w:cs="Arial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color w:val="000000"/>
                <w:szCs w:val="21"/>
              </w:rPr>
              <w:t>Appearance</w:t>
            </w:r>
          </w:p>
        </w:tc>
        <w:tc>
          <w:tcPr>
            <w:tcW w:w="240" w:type="dxa"/>
            <w:tcBorders>
              <w:top w:val="single" w:color="auto" w:sz="12" w:space="0"/>
              <w:tl2br w:val="nil"/>
              <w:tr2bl w:val="nil"/>
            </w:tcBorders>
          </w:tcPr>
          <w:p w14:paraId="54027448">
            <w:pPr>
              <w:rPr>
                <w:rFonts w:hint="default" w:ascii="Arial" w:hAnsi="Arial" w:cs="Arial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5311" w:type="dxa"/>
            <w:tcBorders>
              <w:top w:val="single" w:color="auto" w:sz="12" w:space="0"/>
              <w:tl2br w:val="nil"/>
              <w:tr2bl w:val="nil"/>
            </w:tcBorders>
          </w:tcPr>
          <w:p w14:paraId="2B328C64">
            <w:pPr>
              <w:jc w:val="left"/>
              <w:rPr>
                <w:rFonts w:hint="default" w:ascii="Arial" w:hAnsi="Arial" w:eastAsia="ArialMT" w:cs="Arial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color w:val="000000"/>
                <w:szCs w:val="21"/>
              </w:rPr>
              <w:t>Wh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it</w:t>
            </w:r>
            <w:r>
              <w:rPr>
                <w:color w:val="000000"/>
                <w:szCs w:val="21"/>
              </w:rPr>
              <w:t>e powder</w:t>
            </w:r>
          </w:p>
        </w:tc>
      </w:tr>
      <w:tr w14:paraId="0FE81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l2br w:val="nil"/>
              <w:tr2bl w:val="nil"/>
            </w:tcBorders>
          </w:tcPr>
          <w:p w14:paraId="0167A93A">
            <w:pPr>
              <w:rPr>
                <w:rFonts w:hint="default" w:ascii="Arial" w:hAnsi="Arial" w:cs="Arial" w:eastAsiaTheme="minorEastAsia"/>
                <w:b w:val="0"/>
                <w:bCs w:val="0"/>
                <w:sz w:val="20"/>
                <w:szCs w:val="20"/>
                <w:vertAlign w:val="baseline"/>
                <w:lang w:eastAsia="zh-CN"/>
              </w:rPr>
            </w:pPr>
            <w:r>
              <w:rPr>
                <w:color w:val="000000"/>
                <w:szCs w:val="21"/>
              </w:rPr>
              <w:t>Bulk density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kg/m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³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94D05CC">
            <w:pPr>
              <w:rPr>
                <w:rFonts w:hint="default" w:ascii="Arial" w:hAnsi="Arial" w:cs="Arial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5311" w:type="dxa"/>
            <w:tcBorders>
              <w:tl2br w:val="nil"/>
              <w:tr2bl w:val="nil"/>
            </w:tcBorders>
          </w:tcPr>
          <w:p w14:paraId="0510A8CD">
            <w:pPr>
              <w:jc w:val="left"/>
              <w:rPr>
                <w:rFonts w:hint="default" w:ascii="Arial" w:hAnsi="Arial" w:cs="Arial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600±100</w:t>
            </w:r>
          </w:p>
        </w:tc>
      </w:tr>
      <w:tr w14:paraId="0642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2971" w:type="dxa"/>
            <w:tcBorders>
              <w:tl2br w:val="nil"/>
              <w:tr2bl w:val="nil"/>
            </w:tcBorders>
          </w:tcPr>
          <w:p w14:paraId="2D7FD72E">
            <w:pPr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PH(20% aqueous solution)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052CE20D">
            <w:pPr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311" w:type="dxa"/>
            <w:tcBorders>
              <w:tl2br w:val="nil"/>
              <w:tr2bl w:val="nil"/>
            </w:tcBorders>
            <w:vAlign w:val="top"/>
          </w:tcPr>
          <w:p w14:paraId="3774BAAF">
            <w:pPr>
              <w:jc w:val="both"/>
              <w:rPr>
                <w:rFonts w:hint="default" w:ascii="Arial" w:hAnsi="Arial" w:eastAsia="ArialMT" w:cs="Arial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ArialMT" w:cs="Arial"/>
                <w:b w:val="0"/>
                <w:bCs w:val="0"/>
                <w:sz w:val="20"/>
                <w:szCs w:val="20"/>
                <w:lang w:val="en-US" w:eastAsia="zh-CN"/>
              </w:rPr>
              <w:t>7.0-9.0</w:t>
            </w:r>
          </w:p>
        </w:tc>
      </w:tr>
      <w:tr w14:paraId="5F2E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10804AE6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hint="eastAsia"/>
                <w:szCs w:val="21"/>
              </w:rPr>
              <w:t>Moisture content</w:t>
            </w:r>
          </w:p>
        </w:tc>
        <w:tc>
          <w:tcPr>
            <w:tcW w:w="240" w:type="dxa"/>
            <w:vMerge w:val="restart"/>
            <w:tcBorders>
              <w:tl2br w:val="nil"/>
              <w:tr2bl w:val="nil"/>
            </w:tcBorders>
            <w:vAlign w:val="top"/>
          </w:tcPr>
          <w:p w14:paraId="11D37D0B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  <w:u w:val="single"/>
              </w:rPr>
            </w:pPr>
          </w:p>
        </w:tc>
        <w:tc>
          <w:tcPr>
            <w:tcW w:w="5311" w:type="dxa"/>
            <w:tcBorders>
              <w:tl2br w:val="nil"/>
              <w:tr2bl w:val="nil"/>
            </w:tcBorders>
            <w:vAlign w:val="top"/>
          </w:tcPr>
          <w:p w14:paraId="6A310DF6">
            <w:pPr>
              <w:jc w:val="left"/>
              <w:rPr>
                <w:rFonts w:hint="default" w:ascii="Arial" w:hAnsi="Arial" w:cs="Arial" w:eastAsiaTheme="minorEastAsia"/>
                <w:b w:val="0"/>
                <w:bCs w:val="0"/>
                <w:color w:val="auto"/>
                <w:sz w:val="20"/>
                <w:szCs w:val="20"/>
                <w:highlight w:val="none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≤3</w:t>
            </w:r>
          </w:p>
        </w:tc>
      </w:tr>
      <w:tr w14:paraId="6345A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6E58B420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Rate of water reduction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vAlign w:val="top"/>
          </w:tcPr>
          <w:p w14:paraId="38238CE6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311" w:type="dxa"/>
            <w:tcBorders>
              <w:tl2br w:val="nil"/>
              <w:tr2bl w:val="nil"/>
            </w:tcBorders>
            <w:vAlign w:val="top"/>
          </w:tcPr>
          <w:p w14:paraId="6885CC4B">
            <w:pPr>
              <w:jc w:val="left"/>
              <w:rPr>
                <w:rFonts w:hint="default" w:ascii="Arial" w:hAnsi="Arial" w:cs="Arial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≥25</w:t>
            </w:r>
          </w:p>
        </w:tc>
      </w:tr>
      <w:tr w14:paraId="2C133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518FC42E">
            <w:pPr>
              <w:spacing w:line="23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Water reduction rate </w:t>
            </w:r>
          </w:p>
          <w:p w14:paraId="27B1F058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recommended dosage (accounted for gel material %)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vAlign w:val="top"/>
          </w:tcPr>
          <w:p w14:paraId="4375D1B2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311" w:type="dxa"/>
            <w:tcBorders>
              <w:tl2br w:val="nil"/>
              <w:tr2bl w:val="nil"/>
            </w:tcBorders>
            <w:vAlign w:val="top"/>
          </w:tcPr>
          <w:p w14:paraId="06BC4EA6">
            <w:pPr>
              <w:bidi w:val="0"/>
              <w:jc w:val="left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0.2-0.4</w:t>
            </w:r>
          </w:p>
        </w:tc>
      </w:tr>
      <w:tr w14:paraId="5D116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0764F997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szCs w:val="21"/>
                <w:lang w:val="en-US" w:eastAsia="zh-CN"/>
              </w:rPr>
              <w:t>Purity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vAlign w:val="top"/>
          </w:tcPr>
          <w:p w14:paraId="242E9715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311" w:type="dxa"/>
            <w:tcBorders>
              <w:tl2br w:val="nil"/>
              <w:tr2bl w:val="nil"/>
            </w:tcBorders>
            <w:vAlign w:val="top"/>
          </w:tcPr>
          <w:p w14:paraId="24EE14CF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szCs w:val="21"/>
                <w:lang w:val="en-US" w:eastAsia="zh-CN"/>
              </w:rPr>
              <w:t>95.5</w:t>
            </w:r>
            <w:r>
              <w:rPr>
                <w:rFonts w:hint="eastAsia"/>
                <w:lang w:val="en-US" w:eastAsia="zh-CN"/>
              </w:rPr>
              <w:t>%</w:t>
            </w:r>
          </w:p>
        </w:tc>
      </w:tr>
      <w:tr w14:paraId="0090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12" w:space="0"/>
            </w:tcBorders>
            <w:vAlign w:val="top"/>
          </w:tcPr>
          <w:p w14:paraId="10A3173F">
            <w:pPr>
              <w:rPr>
                <w:rFonts w:hint="default" w:ascii="Arial" w:hAnsi="Arial" w:eastAsia="Times New Roman" w:cs="Arial"/>
                <w:sz w:val="20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</w:rPr>
              <w:t>Application Environment</w:t>
            </w:r>
          </w:p>
        </w:tc>
        <w:tc>
          <w:tcPr>
            <w:tcW w:w="240" w:type="dxa"/>
            <w:tcBorders>
              <w:bottom w:val="single" w:color="auto" w:sz="12" w:space="0"/>
            </w:tcBorders>
            <w:vAlign w:val="top"/>
          </w:tcPr>
          <w:p w14:paraId="3EB2B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5311" w:type="dxa"/>
            <w:tcBorders>
              <w:bottom w:val="single" w:color="auto" w:sz="12" w:space="0"/>
            </w:tcBorders>
            <w:vAlign w:val="top"/>
          </w:tcPr>
          <w:p w14:paraId="5D7C4E23">
            <w:pPr>
              <w:jc w:val="center"/>
            </w:pPr>
          </w:p>
        </w:tc>
      </w:tr>
      <w:tr w14:paraId="0A44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2AB1D0B2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vertAlign w:val="baseline"/>
                <w:lang w:val="en-US" w:eastAsia="zh-CN"/>
              </w:rPr>
            </w:pPr>
            <w:bookmarkStart w:id="0" w:name="OLE_LINK1" w:colFirst="0" w:colLast="0"/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1.self-leveling mortar</w:t>
            </w:r>
          </w:p>
        </w:tc>
      </w:tr>
      <w:tr w14:paraId="7F4E0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428A368A">
            <w:pPr>
              <w:jc w:val="left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2.common grout</w:t>
            </w:r>
          </w:p>
        </w:tc>
      </w:tr>
      <w:tr w14:paraId="6E64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28014870">
            <w:pPr>
              <w:jc w:val="left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3.repair mortar</w:t>
            </w:r>
          </w:p>
        </w:tc>
      </w:tr>
      <w:tr w14:paraId="32DD4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3045E51E">
            <w:pPr>
              <w:jc w:val="left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4.floor mortar</w:t>
            </w:r>
          </w:p>
        </w:tc>
      </w:tr>
      <w:tr w14:paraId="5BB5C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1E283F6B">
            <w:pPr>
              <w:jc w:val="left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5.reagents for high performance concrete</w:t>
            </w:r>
          </w:p>
        </w:tc>
      </w:tr>
      <w:tr w14:paraId="79B54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5D858E76">
            <w:pPr>
              <w:jc w:val="left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 xml:space="preserve">6.high strength concrete </w:t>
            </w:r>
          </w:p>
        </w:tc>
      </w:tr>
      <w:tr w14:paraId="77DE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0149188F">
            <w:pPr>
              <w:jc w:val="left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7.large flow concrete</w:t>
            </w:r>
          </w:p>
        </w:tc>
      </w:tr>
      <w:tr w14:paraId="1D815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04CD9D89">
            <w:pPr>
              <w:jc w:val="left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8.gypsum plastering</w:t>
            </w:r>
          </w:p>
        </w:tc>
      </w:tr>
      <w:bookmarkEnd w:id="0"/>
      <w:tr w14:paraId="66682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0779C3E2">
            <w:pPr>
              <w:tabs>
                <w:tab w:val="left" w:pos="642"/>
              </w:tabs>
              <w:jc w:val="left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Advantage</w:t>
            </w:r>
          </w:p>
        </w:tc>
      </w:tr>
      <w:tr w14:paraId="2355E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0946ECE6">
            <w:pPr>
              <w:tabs>
                <w:tab w:val="left" w:pos="642"/>
              </w:tabs>
              <w:jc w:val="left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(1) Low dosage and high water reduction rate</w:t>
            </w:r>
          </w:p>
        </w:tc>
      </w:tr>
      <w:tr w14:paraId="1EE92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4339747E">
            <w:pPr>
              <w:tabs>
                <w:tab w:val="left" w:pos="642"/>
              </w:tabs>
              <w:jc w:val="left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 xml:space="preserve">(2) Good fluidity retention of concrete mixture; </w:t>
            </w:r>
          </w:p>
        </w:tc>
      </w:tr>
      <w:tr w14:paraId="7D628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7720D825">
            <w:pPr>
              <w:tabs>
                <w:tab w:val="left" w:pos="642"/>
              </w:tabs>
              <w:jc w:val="left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(3) Good compatibility with cement;</w:t>
            </w:r>
          </w:p>
        </w:tc>
      </w:tr>
      <w:tr w14:paraId="70E4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16F40ECA">
            <w:pPr>
              <w:tabs>
                <w:tab w:val="left" w:pos="642"/>
              </w:tabs>
              <w:jc w:val="left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 xml:space="preserve">(4) The prepared concrete has a small shrinkage, which is conducive to improving the volume stability and durability of concrete; </w:t>
            </w:r>
          </w:p>
        </w:tc>
      </w:tr>
      <w:tr w14:paraId="19BFA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0B84180D">
            <w:pPr>
              <w:tabs>
                <w:tab w:val="left" w:pos="642"/>
              </w:tabs>
              <w:jc w:val="left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(5) Environmental protection and pollution-free during production and use, belonging to green admixture</w:t>
            </w:r>
          </w:p>
        </w:tc>
      </w:tr>
      <w:tr w14:paraId="20565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bottom w:val="single" w:color="auto" w:sz="12" w:space="0"/>
            </w:tcBorders>
          </w:tcPr>
          <w:p w14:paraId="7D6A0AC1">
            <w:pPr>
              <w:rPr>
                <w:rFonts w:hint="default" w:ascii="Arial" w:hAnsi="Arial" w:eastAsia="宋体" w:cs="Arial"/>
                <w:b/>
                <w:bCs/>
                <w:sz w:val="20"/>
                <w:lang w:val="en-US" w:eastAsia="zh-CN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</w:rPr>
              <w:t>Storage Information</w:t>
            </w:r>
            <w:r>
              <w:rPr>
                <w:rFonts w:hint="eastAsia" w:ascii="Arial" w:hAnsi="Arial" w:eastAsia="宋体" w:cs="Arial"/>
                <w:b/>
                <w:bCs/>
                <w:sz w:val="20"/>
                <w:lang w:val="en-US" w:eastAsia="zh-CN"/>
              </w:rPr>
              <w:t xml:space="preserve"> and Packaging</w:t>
            </w:r>
          </w:p>
        </w:tc>
      </w:tr>
      <w:tr w14:paraId="159A6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8522" w:type="dxa"/>
            <w:gridSpan w:val="3"/>
            <w:tcBorders>
              <w:top w:val="single" w:color="auto" w:sz="12" w:space="0"/>
              <w:bottom w:val="single" w:color="auto" w:sz="4" w:space="0"/>
              <w:tl2br w:val="nil"/>
              <w:tr2bl w:val="nil"/>
            </w:tcBorders>
          </w:tcPr>
          <w:p w14:paraId="72EFE787">
            <w:pP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Stored in the dry environment with temperature below</w:t>
            </w:r>
          </w:p>
          <w:p w14:paraId="0634CAD9">
            <w:pP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30°C</w:t>
            </w:r>
          </w:p>
          <w:p w14:paraId="6939F437">
            <w:pP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Do not store product for more than six months,if warranty</w:t>
            </w:r>
          </w:p>
          <w:p w14:paraId="26D51387">
            <w:pP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period is beyond and no caking phenomenon exists,it can</w:t>
            </w:r>
          </w:p>
          <w:p w14:paraId="0C15F35F">
            <w:pP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still be used</w:t>
            </w:r>
          </w:p>
          <w:p w14:paraId="4D35FA22">
            <w:pP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 w:eastAsiaTheme="minorEastAsia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After being opened,the powder not used up shall be</w:t>
            </w:r>
          </w:p>
          <w:p w14:paraId="6295F39D">
            <w:pPr>
              <w:rPr>
                <w:rFonts w:hint="eastAsia" w:ascii="Arial" w:hAnsi="Arial" w:cs="Arial" w:eastAsiaTheme="minorEastAsia"/>
                <w:b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bCs/>
                <w:sz w:val="20"/>
                <w:szCs w:val="20"/>
                <w:highlight w:val="none"/>
                <w:lang w:val="en-US" w:eastAsia="zh-CN"/>
              </w:rPr>
              <w:t>sealed to avoid being affected with damp because of air</w:t>
            </w:r>
          </w:p>
          <w:p w14:paraId="6915D405">
            <w:pPr>
              <w:rPr>
                <w:rFonts w:hint="eastAsia" w:ascii="Arial" w:hAnsi="Arial" w:cs="Arial" w:eastAsiaTheme="minorEastAsia"/>
                <w:b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bCs/>
                <w:sz w:val="20"/>
                <w:szCs w:val="20"/>
                <w:highlight w:val="none"/>
                <w:lang w:val="en-US" w:eastAsia="zh-CN"/>
              </w:rPr>
              <w:t>c</w:t>
            </w:r>
            <w:r>
              <w:rPr>
                <w:rFonts w:hint="eastAsia" w:ascii="Arial" w:hAnsi="Arial" w:cs="Arial" w:eastAsiaTheme="minorEastAsia"/>
                <w:bCs/>
                <w:sz w:val="20"/>
                <w:szCs w:val="20"/>
                <w:highlight w:val="none"/>
                <w:lang w:val="en-US" w:eastAsia="zh-CN"/>
              </w:rPr>
              <w:t>ontact</w:t>
            </w:r>
          </w:p>
          <w:p w14:paraId="5D2952BB">
            <w:pPr>
              <w:rPr>
                <w:rFonts w:hint="eastAsia" w:ascii="Arial" w:hAnsi="Arial" w:cs="Arial" w:eastAsiaTheme="minorEastAsia"/>
                <w:b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bCs/>
                <w:sz w:val="20"/>
                <w:szCs w:val="20"/>
                <w:highlight w:val="none"/>
                <w:lang w:val="en-US" w:eastAsia="zh-CN"/>
              </w:rPr>
              <w:t>25kg/bag or custom packaging</w:t>
            </w:r>
          </w:p>
        </w:tc>
      </w:tr>
      <w:tr w14:paraId="228A3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</w:tcPr>
          <w:p w14:paraId="54AD9DD1">
            <w:pPr>
              <w:rPr>
                <w:rFonts w:hint="default" w:ascii="Arial" w:hAnsi="Arial" w:eastAsia="Times New Roman" w:cs="Arial"/>
                <w:sz w:val="20"/>
              </w:rPr>
            </w:pPr>
            <w:r>
              <w:drawing>
                <wp:inline distT="0" distB="0" distL="114300" distR="114300">
                  <wp:extent cx="1746885" cy="1583055"/>
                  <wp:effectExtent l="0" t="0" r="5715" b="171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85" cy="158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12" w:space="0"/>
            </w:tcBorders>
          </w:tcPr>
          <w:p w14:paraId="29B9B5E6">
            <w:pPr>
              <w:rPr>
                <w:rFonts w:hint="eastAsia" w:ascii="Arial" w:hAnsi="Arial" w:cs="Arial"/>
                <w:vertAlign w:val="baseline"/>
                <w:lang w:val="en-US" w:eastAsia="zh-CN"/>
              </w:rPr>
            </w:pPr>
          </w:p>
        </w:tc>
        <w:tc>
          <w:tcPr>
            <w:tcW w:w="5311" w:type="dxa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077363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 xml:space="preserve">Taian Tianrun Gome </w:t>
            </w: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N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 xml:space="preserve">ew </w:t>
            </w: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aterial Co., Ltd.</w:t>
            </w:r>
          </w:p>
          <w:p w14:paraId="06CB13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Add: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  <w:t>Feicheng City, Taian City, Shandong Province,China</w:t>
            </w:r>
          </w:p>
          <w:p w14:paraId="2CE0F9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Contact: Leo Liu</w:t>
            </w:r>
          </w:p>
          <w:p w14:paraId="7401C0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MOB/WA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:</w:t>
            </w: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  <w:t xml:space="preserve"> +86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  <w:t>18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905481653</w:t>
            </w:r>
          </w:p>
          <w:p w14:paraId="7FBDA1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Email:</w:t>
            </w: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leo@rdptianrun.com</w:t>
            </w:r>
            <w:bookmarkStart w:id="1" w:name="_GoBack"/>
            <w:bookmarkEnd w:id="1"/>
          </w:p>
        </w:tc>
      </w:tr>
    </w:tbl>
    <w:p w14:paraId="51EAB465">
      <w:pPr>
        <w:spacing w:beforeLines="0" w:afterLines="0"/>
      </w:pPr>
    </w:p>
    <w:p w14:paraId="6B82F6A0"/>
    <w:sectPr>
      <w:headerReference r:id="rId4" w:type="first"/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7FA66">
    <w:pPr>
      <w:pBdr>
        <w:bottom w:val="none" w:color="auto" w:sz="0" w:space="0"/>
      </w:pBdr>
      <w:spacing w:beforeLines="0" w:afterLines="0"/>
      <w:rPr>
        <w:rFonts w:hint="default"/>
        <w:spacing w:val="20"/>
        <w:sz w:val="18"/>
      </w:rPr>
    </w:pPr>
  </w:p>
  <w:tbl>
    <w:tblPr>
      <w:tblStyle w:val="4"/>
      <w:tblpPr w:leftFromText="180" w:rightFromText="180" w:vertAnchor="text" w:horzAnchor="page" w:tblpX="1831" w:tblpY="143"/>
      <w:tblOverlap w:val="never"/>
      <w:tblW w:w="8480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306"/>
      <w:gridCol w:w="4174"/>
    </w:tblGrid>
    <w:tr w14:paraId="6A7DBD86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c>
        <w:tcPr>
          <w:tcW w:w="4306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top"/>
        </w:tcPr>
        <w:p w14:paraId="101E459B">
          <w:pPr>
            <w:pBdr>
              <w:bottom w:val="none" w:color="auto" w:sz="0" w:space="0"/>
            </w:pBdr>
            <w:spacing w:beforeLines="0" w:afterLines="0"/>
            <w:rPr>
              <w:rFonts w:hint="default"/>
              <w:spacing w:val="20"/>
              <w:sz w:val="18"/>
            </w:rPr>
          </w:pPr>
        </w:p>
        <w:p w14:paraId="363B66D1">
          <w:pPr>
            <w:pBdr>
              <w:bottom w:val="none" w:color="auto" w:sz="0" w:space="0"/>
            </w:pBdr>
            <w:spacing w:beforeLines="0" w:afterLines="0"/>
            <w:rPr>
              <w:rFonts w:hint="default"/>
              <w:spacing w:val="20"/>
              <w:sz w:val="18"/>
            </w:rPr>
          </w:pPr>
        </w:p>
        <w:p w14:paraId="3D61647F">
          <w:pPr>
            <w:pBdr>
              <w:bottom w:val="none" w:color="auto" w:sz="0" w:space="0"/>
            </w:pBdr>
            <w:spacing w:beforeLines="0" w:afterLines="0"/>
            <w:rPr>
              <w:rFonts w:hint="default"/>
              <w:spacing w:val="20"/>
              <w:sz w:val="18"/>
            </w:rPr>
          </w:pPr>
        </w:p>
      </w:tc>
      <w:tc>
        <w:tcPr>
          <w:tcW w:w="4174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bottom"/>
        </w:tcPr>
        <w:p w14:paraId="6710100A">
          <w:pPr>
            <w:pBdr>
              <w:bottom w:val="none" w:color="auto" w:sz="0" w:space="0"/>
            </w:pBdr>
            <w:wordWrap w:val="0"/>
            <w:spacing w:beforeLines="0" w:afterLines="0"/>
            <w:jc w:val="right"/>
            <w:rPr>
              <w:rFonts w:hint="default"/>
              <w:sz w:val="18"/>
              <w:szCs w:val="18"/>
              <w:lang w:val="en-US" w:eastAsia="zh-CN"/>
            </w:rPr>
          </w:pPr>
          <w:r>
            <w:rPr>
              <w:rFonts w:hint="default"/>
              <w:sz w:val="18"/>
              <w:szCs w:val="18"/>
            </w:rPr>
            <w:t xml:space="preserve">Creation Date: </w:t>
          </w:r>
          <w:r>
            <w:rPr>
              <w:rFonts w:hint="eastAsia"/>
              <w:sz w:val="18"/>
              <w:szCs w:val="18"/>
              <w:lang w:val="en-US" w:eastAsia="zh-CN"/>
            </w:rPr>
            <w:t>April 12, 2024</w:t>
          </w:r>
        </w:p>
        <w:p w14:paraId="0DA31EFD">
          <w:pPr>
            <w:pBdr>
              <w:bottom w:val="none" w:color="auto" w:sz="0" w:space="0"/>
            </w:pBdr>
            <w:wordWrap/>
            <w:spacing w:beforeLines="0" w:afterLines="0"/>
            <w:jc w:val="right"/>
            <w:rPr>
              <w:rFonts w:hint="default"/>
              <w:sz w:val="18"/>
              <w:szCs w:val="18"/>
              <w:lang w:val="en-US" w:eastAsia="zh-CN"/>
            </w:rPr>
          </w:pPr>
        </w:p>
      </w:tc>
    </w:tr>
  </w:tbl>
  <w:p w14:paraId="65DA195C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leftFromText="180" w:rightFromText="180" w:vertAnchor="text" w:horzAnchor="page" w:tblpX="1831" w:tblpY="143"/>
      <w:tblOverlap w:val="never"/>
      <w:tblW w:w="8480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306"/>
      <w:gridCol w:w="4174"/>
    </w:tblGrid>
    <w:tr w14:paraId="7DB63276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306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top"/>
        </w:tcPr>
        <w:p w14:paraId="7D508E9D">
          <w:pPr>
            <w:pBdr>
              <w:bottom w:val="none" w:color="auto" w:sz="0" w:space="0"/>
            </w:pBdr>
            <w:spacing w:beforeLines="0" w:afterLines="0"/>
            <w:rPr>
              <w:rFonts w:hint="default"/>
              <w:spacing w:val="20"/>
              <w:sz w:val="18"/>
            </w:rPr>
          </w:pPr>
        </w:p>
      </w:tc>
      <w:tc>
        <w:tcPr>
          <w:tcW w:w="4174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bottom"/>
        </w:tcPr>
        <w:p w14:paraId="2EB94AFA">
          <w:pPr>
            <w:pBdr>
              <w:bottom w:val="none" w:color="auto" w:sz="0" w:space="0"/>
            </w:pBdr>
            <w:wordWrap w:val="0"/>
            <w:spacing w:beforeLines="0" w:afterLines="0"/>
            <w:jc w:val="right"/>
            <w:rPr>
              <w:rFonts w:hint="eastAsia" w:eastAsiaTheme="minorEastAsia"/>
              <w:sz w:val="18"/>
              <w:szCs w:val="18"/>
              <w:lang w:val="en-US" w:eastAsia="zh-CN"/>
            </w:rPr>
          </w:pPr>
          <w:r>
            <w:rPr>
              <w:rFonts w:hint="default"/>
              <w:sz w:val="18"/>
              <w:szCs w:val="18"/>
              <w:lang w:eastAsia="zh-CN"/>
            </w:rPr>
            <w:t xml:space="preserve">           </w:t>
          </w:r>
          <w:r>
            <w:rPr>
              <w:rFonts w:hint="default"/>
              <w:sz w:val="18"/>
              <w:szCs w:val="18"/>
            </w:rPr>
            <w:t xml:space="preserve">Creation Date: </w:t>
          </w:r>
          <w:r>
            <w:rPr>
              <w:rFonts w:hint="eastAsia"/>
              <w:sz w:val="18"/>
              <w:szCs w:val="18"/>
              <w:lang w:val="en-US" w:eastAsia="zh-CN"/>
            </w:rPr>
            <w:t>April 12</w:t>
          </w:r>
          <w:r>
            <w:rPr>
              <w:rFonts w:hint="default"/>
              <w:sz w:val="18"/>
              <w:szCs w:val="18"/>
            </w:rPr>
            <w:t>, 202</w:t>
          </w:r>
          <w:r>
            <w:rPr>
              <w:rFonts w:hint="eastAsia"/>
              <w:sz w:val="18"/>
              <w:szCs w:val="18"/>
              <w:lang w:val="en-US" w:eastAsia="zh-CN"/>
            </w:rPr>
            <w:t>4</w:t>
          </w:r>
        </w:p>
      </w:tc>
    </w:tr>
  </w:tbl>
  <w:p w14:paraId="60D0A20B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MzkyNjEzNWU3ODhkN2NlZjdhNDE1OTg5ZGYyNDcifQ=="/>
  </w:docVars>
  <w:rsids>
    <w:rsidRoot w:val="00172A27"/>
    <w:rsid w:val="001372DD"/>
    <w:rsid w:val="0024626E"/>
    <w:rsid w:val="01B96C71"/>
    <w:rsid w:val="01C16EF6"/>
    <w:rsid w:val="021D0152"/>
    <w:rsid w:val="02585140"/>
    <w:rsid w:val="02650F97"/>
    <w:rsid w:val="02C22F2E"/>
    <w:rsid w:val="040758B6"/>
    <w:rsid w:val="04443894"/>
    <w:rsid w:val="04606536"/>
    <w:rsid w:val="04B62533"/>
    <w:rsid w:val="04D67AD4"/>
    <w:rsid w:val="04FC6AE0"/>
    <w:rsid w:val="05014635"/>
    <w:rsid w:val="052E13FB"/>
    <w:rsid w:val="055163A5"/>
    <w:rsid w:val="069A65B0"/>
    <w:rsid w:val="073609D0"/>
    <w:rsid w:val="077C5E81"/>
    <w:rsid w:val="081A3B22"/>
    <w:rsid w:val="08730135"/>
    <w:rsid w:val="08A553AA"/>
    <w:rsid w:val="0A41269B"/>
    <w:rsid w:val="0A6B38B6"/>
    <w:rsid w:val="0AB054D6"/>
    <w:rsid w:val="0B397AA5"/>
    <w:rsid w:val="0CF23963"/>
    <w:rsid w:val="0D6A37AC"/>
    <w:rsid w:val="0DD979BE"/>
    <w:rsid w:val="0DFC2DF1"/>
    <w:rsid w:val="0EBB07DA"/>
    <w:rsid w:val="0EF33771"/>
    <w:rsid w:val="0F22540A"/>
    <w:rsid w:val="0F962472"/>
    <w:rsid w:val="0FBF67D2"/>
    <w:rsid w:val="10602853"/>
    <w:rsid w:val="106053D4"/>
    <w:rsid w:val="118E6B5A"/>
    <w:rsid w:val="11EB7A91"/>
    <w:rsid w:val="122066E5"/>
    <w:rsid w:val="127E1E6A"/>
    <w:rsid w:val="13515180"/>
    <w:rsid w:val="13556539"/>
    <w:rsid w:val="13A825E8"/>
    <w:rsid w:val="14F07817"/>
    <w:rsid w:val="150F4C61"/>
    <w:rsid w:val="16AD8EDC"/>
    <w:rsid w:val="16AE4C6E"/>
    <w:rsid w:val="16DC0973"/>
    <w:rsid w:val="16E3365C"/>
    <w:rsid w:val="1702242A"/>
    <w:rsid w:val="1713399D"/>
    <w:rsid w:val="179162F2"/>
    <w:rsid w:val="17D66D6E"/>
    <w:rsid w:val="17E54C07"/>
    <w:rsid w:val="183D0B0E"/>
    <w:rsid w:val="18455A24"/>
    <w:rsid w:val="184B5C83"/>
    <w:rsid w:val="186B68AC"/>
    <w:rsid w:val="18F54343"/>
    <w:rsid w:val="19B33648"/>
    <w:rsid w:val="19E3630E"/>
    <w:rsid w:val="1A66453B"/>
    <w:rsid w:val="1AD07608"/>
    <w:rsid w:val="1BA90BC2"/>
    <w:rsid w:val="1BD65836"/>
    <w:rsid w:val="1D8E3FE2"/>
    <w:rsid w:val="1DF620B0"/>
    <w:rsid w:val="1E4C7425"/>
    <w:rsid w:val="206C6FE8"/>
    <w:rsid w:val="207E1A6D"/>
    <w:rsid w:val="209C2D9D"/>
    <w:rsid w:val="21173672"/>
    <w:rsid w:val="225D62B6"/>
    <w:rsid w:val="24072DDB"/>
    <w:rsid w:val="252E684F"/>
    <w:rsid w:val="25CB3E18"/>
    <w:rsid w:val="267E5922"/>
    <w:rsid w:val="26A0353D"/>
    <w:rsid w:val="27391BCD"/>
    <w:rsid w:val="274729ED"/>
    <w:rsid w:val="2780222A"/>
    <w:rsid w:val="27D24573"/>
    <w:rsid w:val="28AE5B10"/>
    <w:rsid w:val="28C0686E"/>
    <w:rsid w:val="28C42F94"/>
    <w:rsid w:val="299E3E9B"/>
    <w:rsid w:val="29B57D7C"/>
    <w:rsid w:val="2A113FC6"/>
    <w:rsid w:val="2B6D29C8"/>
    <w:rsid w:val="2B9C4C16"/>
    <w:rsid w:val="2BA0547C"/>
    <w:rsid w:val="2BE27F2E"/>
    <w:rsid w:val="2BE3342B"/>
    <w:rsid w:val="2E617B14"/>
    <w:rsid w:val="2F771802"/>
    <w:rsid w:val="2F7A75A9"/>
    <w:rsid w:val="2FBD1DAD"/>
    <w:rsid w:val="30A47D67"/>
    <w:rsid w:val="318031C7"/>
    <w:rsid w:val="31A42C8F"/>
    <w:rsid w:val="323B631C"/>
    <w:rsid w:val="326C2300"/>
    <w:rsid w:val="329F288E"/>
    <w:rsid w:val="32FD1E51"/>
    <w:rsid w:val="330333F4"/>
    <w:rsid w:val="33072022"/>
    <w:rsid w:val="34711F12"/>
    <w:rsid w:val="356E24DA"/>
    <w:rsid w:val="356F456A"/>
    <w:rsid w:val="35EB6C56"/>
    <w:rsid w:val="35F7D847"/>
    <w:rsid w:val="35FF155F"/>
    <w:rsid w:val="360B6874"/>
    <w:rsid w:val="36980659"/>
    <w:rsid w:val="371D3047"/>
    <w:rsid w:val="3735D358"/>
    <w:rsid w:val="38051569"/>
    <w:rsid w:val="38BF721E"/>
    <w:rsid w:val="38CF7E6F"/>
    <w:rsid w:val="399641F4"/>
    <w:rsid w:val="3A2F6585"/>
    <w:rsid w:val="3A750F62"/>
    <w:rsid w:val="3B1914FF"/>
    <w:rsid w:val="3B646A83"/>
    <w:rsid w:val="3B7B1505"/>
    <w:rsid w:val="3BA85450"/>
    <w:rsid w:val="3BD247F3"/>
    <w:rsid w:val="3BE307D4"/>
    <w:rsid w:val="3BF77BE7"/>
    <w:rsid w:val="3C3A0F1D"/>
    <w:rsid w:val="3C714F1B"/>
    <w:rsid w:val="3CDC7902"/>
    <w:rsid w:val="3D406788"/>
    <w:rsid w:val="3D844FFB"/>
    <w:rsid w:val="3DC62E5C"/>
    <w:rsid w:val="3DD80617"/>
    <w:rsid w:val="3E491D3F"/>
    <w:rsid w:val="3EB81C8E"/>
    <w:rsid w:val="3EC105EA"/>
    <w:rsid w:val="3F7B0EC3"/>
    <w:rsid w:val="3F9F1219"/>
    <w:rsid w:val="420A6786"/>
    <w:rsid w:val="42A4772E"/>
    <w:rsid w:val="42A7204B"/>
    <w:rsid w:val="42F0523A"/>
    <w:rsid w:val="438B38EA"/>
    <w:rsid w:val="43AB4E78"/>
    <w:rsid w:val="45273B80"/>
    <w:rsid w:val="46DA1C60"/>
    <w:rsid w:val="476E5153"/>
    <w:rsid w:val="47F22AF2"/>
    <w:rsid w:val="48492A82"/>
    <w:rsid w:val="487814A5"/>
    <w:rsid w:val="48B02834"/>
    <w:rsid w:val="48F71723"/>
    <w:rsid w:val="49AEF7AC"/>
    <w:rsid w:val="4A175B76"/>
    <w:rsid w:val="4BFF5933"/>
    <w:rsid w:val="4C4D5814"/>
    <w:rsid w:val="4D394871"/>
    <w:rsid w:val="4D8F44CC"/>
    <w:rsid w:val="4EC34302"/>
    <w:rsid w:val="4EF16C27"/>
    <w:rsid w:val="50E17C37"/>
    <w:rsid w:val="52612F22"/>
    <w:rsid w:val="527A646B"/>
    <w:rsid w:val="52807F7A"/>
    <w:rsid w:val="52D64839"/>
    <w:rsid w:val="53963D76"/>
    <w:rsid w:val="53F30757"/>
    <w:rsid w:val="54882A7E"/>
    <w:rsid w:val="556151E6"/>
    <w:rsid w:val="55C004AB"/>
    <w:rsid w:val="55C7D3B8"/>
    <w:rsid w:val="573527D4"/>
    <w:rsid w:val="57FD58C1"/>
    <w:rsid w:val="58577C5D"/>
    <w:rsid w:val="58D55434"/>
    <w:rsid w:val="59427EE5"/>
    <w:rsid w:val="59F852A5"/>
    <w:rsid w:val="5AA171CA"/>
    <w:rsid w:val="5B7E61F9"/>
    <w:rsid w:val="5BE47E3F"/>
    <w:rsid w:val="5CF13839"/>
    <w:rsid w:val="5CF55164"/>
    <w:rsid w:val="5D2D6362"/>
    <w:rsid w:val="5D4C4970"/>
    <w:rsid w:val="5E56453D"/>
    <w:rsid w:val="5E917EEA"/>
    <w:rsid w:val="5EAA434F"/>
    <w:rsid w:val="5EEA21A4"/>
    <w:rsid w:val="5EEED040"/>
    <w:rsid w:val="5F062E16"/>
    <w:rsid w:val="5F504521"/>
    <w:rsid w:val="5FCCD800"/>
    <w:rsid w:val="60624BBE"/>
    <w:rsid w:val="607E54E1"/>
    <w:rsid w:val="60850B97"/>
    <w:rsid w:val="60B46C45"/>
    <w:rsid w:val="61953BDC"/>
    <w:rsid w:val="63D21F33"/>
    <w:rsid w:val="641A3725"/>
    <w:rsid w:val="6573228D"/>
    <w:rsid w:val="65FF0E85"/>
    <w:rsid w:val="67793E59"/>
    <w:rsid w:val="677D8A52"/>
    <w:rsid w:val="67F7BDC7"/>
    <w:rsid w:val="683D1AC6"/>
    <w:rsid w:val="686728D5"/>
    <w:rsid w:val="68C616F7"/>
    <w:rsid w:val="68EF63C0"/>
    <w:rsid w:val="69B6BE53"/>
    <w:rsid w:val="69FA6278"/>
    <w:rsid w:val="69FF65A6"/>
    <w:rsid w:val="6AB02CB0"/>
    <w:rsid w:val="6BCF588F"/>
    <w:rsid w:val="6BEA8120"/>
    <w:rsid w:val="6C7C7008"/>
    <w:rsid w:val="6CEC6FC5"/>
    <w:rsid w:val="6D7B1BE3"/>
    <w:rsid w:val="6DB211AF"/>
    <w:rsid w:val="6F031D80"/>
    <w:rsid w:val="6F4B3E15"/>
    <w:rsid w:val="6F8BBE33"/>
    <w:rsid w:val="6FD81D9C"/>
    <w:rsid w:val="6FEF19B2"/>
    <w:rsid w:val="6FFE4CA3"/>
    <w:rsid w:val="7042774C"/>
    <w:rsid w:val="705867C7"/>
    <w:rsid w:val="710B326F"/>
    <w:rsid w:val="71D15921"/>
    <w:rsid w:val="71F10411"/>
    <w:rsid w:val="720A660F"/>
    <w:rsid w:val="72AF6613"/>
    <w:rsid w:val="74620631"/>
    <w:rsid w:val="74C03348"/>
    <w:rsid w:val="75053B18"/>
    <w:rsid w:val="757FFFDD"/>
    <w:rsid w:val="75C6513F"/>
    <w:rsid w:val="75D01195"/>
    <w:rsid w:val="75D39AB2"/>
    <w:rsid w:val="761868B4"/>
    <w:rsid w:val="7685562E"/>
    <w:rsid w:val="76B87572"/>
    <w:rsid w:val="76DC2B89"/>
    <w:rsid w:val="77B70F68"/>
    <w:rsid w:val="77B76296"/>
    <w:rsid w:val="77FBC4E0"/>
    <w:rsid w:val="77FF9E30"/>
    <w:rsid w:val="77FFFAFE"/>
    <w:rsid w:val="78AC7019"/>
    <w:rsid w:val="79011190"/>
    <w:rsid w:val="7933695F"/>
    <w:rsid w:val="795C60B5"/>
    <w:rsid w:val="79B03E94"/>
    <w:rsid w:val="7BB57A70"/>
    <w:rsid w:val="7C183F3F"/>
    <w:rsid w:val="7CDEA883"/>
    <w:rsid w:val="7CFDC414"/>
    <w:rsid w:val="7D7C5C3A"/>
    <w:rsid w:val="7DB30405"/>
    <w:rsid w:val="7DBFE13B"/>
    <w:rsid w:val="7DF57E0C"/>
    <w:rsid w:val="7E571BD4"/>
    <w:rsid w:val="7EEE9F18"/>
    <w:rsid w:val="7EFF03CC"/>
    <w:rsid w:val="7F36F1E5"/>
    <w:rsid w:val="7F79A0F5"/>
    <w:rsid w:val="7F9C6E99"/>
    <w:rsid w:val="7FBB9681"/>
    <w:rsid w:val="7FBF5BDE"/>
    <w:rsid w:val="7FD52B4C"/>
    <w:rsid w:val="7FDFE2FC"/>
    <w:rsid w:val="7FEDC169"/>
    <w:rsid w:val="7FFB954B"/>
    <w:rsid w:val="97FF8EF5"/>
    <w:rsid w:val="9D971BBF"/>
    <w:rsid w:val="9F8B16E3"/>
    <w:rsid w:val="A63FE60E"/>
    <w:rsid w:val="A76EDBED"/>
    <w:rsid w:val="ABFE1672"/>
    <w:rsid w:val="B6CF41FA"/>
    <w:rsid w:val="B77FECF4"/>
    <w:rsid w:val="B7D8ACB1"/>
    <w:rsid w:val="B7F666FE"/>
    <w:rsid w:val="BDFBC856"/>
    <w:rsid w:val="BEA3D7FB"/>
    <w:rsid w:val="BF73F7E0"/>
    <w:rsid w:val="CFEF5F6B"/>
    <w:rsid w:val="D3F77BAC"/>
    <w:rsid w:val="DAFF2F9C"/>
    <w:rsid w:val="DD6F8AF5"/>
    <w:rsid w:val="DDBBB94D"/>
    <w:rsid w:val="DDD7FEB6"/>
    <w:rsid w:val="E6FD7C1D"/>
    <w:rsid w:val="E7FFF3F2"/>
    <w:rsid w:val="EBFAA7ED"/>
    <w:rsid w:val="EDF687D9"/>
    <w:rsid w:val="EDFF2D11"/>
    <w:rsid w:val="EFBF3F82"/>
    <w:rsid w:val="F1FF7A3A"/>
    <w:rsid w:val="F3ADF57C"/>
    <w:rsid w:val="F5877B6C"/>
    <w:rsid w:val="F77A6ABA"/>
    <w:rsid w:val="F7B7DEE5"/>
    <w:rsid w:val="F7BE2978"/>
    <w:rsid w:val="F7FFF51B"/>
    <w:rsid w:val="FA7FFA1D"/>
    <w:rsid w:val="FAFD5E33"/>
    <w:rsid w:val="FB5791E7"/>
    <w:rsid w:val="FBBC1458"/>
    <w:rsid w:val="FC5C069F"/>
    <w:rsid w:val="FCBB9C94"/>
    <w:rsid w:val="FEBE3BCB"/>
    <w:rsid w:val="FF9FDE56"/>
    <w:rsid w:val="FFB70902"/>
    <w:rsid w:val="FFBF1C4C"/>
    <w:rsid w:val="FFEF9E97"/>
    <w:rsid w:val="FFFC14CD"/>
    <w:rsid w:val="FFFFDF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autoRedefine/>
    <w:qFormat/>
    <w:uiPriority w:val="0"/>
    <w:rPr>
      <w:i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1460</Characters>
  <Lines>0</Lines>
  <Paragraphs>0</Paragraphs>
  <TotalTime>0</TotalTime>
  <ScaleCrop>false</ScaleCrop>
  <LinksUpToDate>false</LinksUpToDate>
  <CharactersWithSpaces>1633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lenovo</dc:creator>
  <cp:lastModifiedBy>Administrator</cp:lastModifiedBy>
  <dcterms:modified xsi:type="dcterms:W3CDTF">2025-04-27T00:36:55Z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8157E89444BB4A029FF48FBEEE75AB81_13</vt:lpwstr>
  </property>
  <property fmtid="{D5CDD505-2E9C-101B-9397-08002B2CF9AE}" pid="4" name="KSOTemplateDocerSaveRecord">
    <vt:lpwstr>eyJoZGlkIjoiODAyNmNkOWFjODQxOTVlYmQ5NDYyZjA0YTI4NWY1MmQifQ==</vt:lpwstr>
  </property>
</Properties>
</file>